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735" w:type="dxa"/>
        <w:tblInd w:w="0" w:type="dxa"/>
        <w:shd w:val="clear" w:color="auto" w:fill="FFFFFF"/>
        <w:tblLayout w:type="autofit"/>
        <w:tblCellMar>
          <w:top w:w="0" w:type="dxa"/>
          <w:left w:w="0" w:type="dxa"/>
          <w:bottom w:w="0" w:type="dxa"/>
          <w:right w:w="0" w:type="dxa"/>
        </w:tblCellMar>
      </w:tblPr>
      <w:tblGrid>
        <w:gridCol w:w="479"/>
        <w:gridCol w:w="1094"/>
        <w:gridCol w:w="453"/>
        <w:gridCol w:w="438"/>
        <w:gridCol w:w="404"/>
        <w:gridCol w:w="977"/>
        <w:gridCol w:w="447"/>
        <w:gridCol w:w="1651"/>
        <w:gridCol w:w="784"/>
        <w:gridCol w:w="428"/>
        <w:gridCol w:w="877"/>
        <w:gridCol w:w="478"/>
        <w:gridCol w:w="1225"/>
      </w:tblGrid>
      <w:tr>
        <w:tblPrEx>
          <w:shd w:val="clear" w:color="auto" w:fill="FFFFFF"/>
          <w:tblCellMar>
            <w:top w:w="0" w:type="dxa"/>
            <w:left w:w="0" w:type="dxa"/>
            <w:bottom w:w="0" w:type="dxa"/>
            <w:right w:w="0" w:type="dxa"/>
          </w:tblCellMar>
        </w:tblPrEx>
        <w:trPr>
          <w:trHeight w:val="435" w:hRule="atLeast"/>
        </w:trPr>
        <w:tc>
          <w:tcPr>
            <w:tcW w:w="17240" w:type="dxa"/>
            <w:gridSpan w:val="13"/>
            <w:tcBorders>
              <w:top w:val="nil"/>
              <w:left w:val="nil"/>
              <w:bottom w:val="single" w:color="auto" w:sz="4" w:space="0"/>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36"/>
                <w:szCs w:val="36"/>
                <w:bdr w:val="none" w:color="auto" w:sz="0" w:space="0"/>
                <w:lang w:val="en-US" w:eastAsia="zh-CN" w:bidi="ar"/>
              </w:rPr>
              <w:t>祁阳县2021年公开招聘事业单位工作人员职位表</w:t>
            </w:r>
          </w:p>
        </w:tc>
      </w:tr>
      <w:tr>
        <w:tblPrEx>
          <w:tblCellMar>
            <w:top w:w="0" w:type="dxa"/>
            <w:left w:w="0" w:type="dxa"/>
            <w:bottom w:w="0" w:type="dxa"/>
            <w:right w:w="0" w:type="dxa"/>
          </w:tblCellMar>
        </w:tblPrEx>
        <w:trPr>
          <w:trHeight w:val="375"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单位名称</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单位性质</w:t>
            </w:r>
          </w:p>
        </w:tc>
        <w:tc>
          <w:tcPr>
            <w:tcW w:w="62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职位代码</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职位类别</w:t>
            </w:r>
          </w:p>
        </w:tc>
        <w:tc>
          <w:tcPr>
            <w:tcW w:w="0" w:type="auto"/>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招聘职位</w:t>
            </w:r>
          </w:p>
        </w:tc>
        <w:tc>
          <w:tcPr>
            <w:tcW w:w="6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招聘名额</w:t>
            </w:r>
          </w:p>
        </w:tc>
        <w:tc>
          <w:tcPr>
            <w:tcW w:w="7820" w:type="dxa"/>
            <w:gridSpan w:val="5"/>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招聘条件及其它</w:t>
            </w:r>
          </w:p>
        </w:tc>
        <w:tc>
          <w:tcPr>
            <w:tcW w:w="23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备注</w:t>
            </w:r>
          </w:p>
        </w:tc>
      </w:tr>
      <w:tr>
        <w:tblPrEx>
          <w:tblCellMar>
            <w:top w:w="0" w:type="dxa"/>
            <w:left w:w="0" w:type="dxa"/>
            <w:bottom w:w="0" w:type="dxa"/>
            <w:right w:w="0" w:type="dxa"/>
          </w:tblCellMar>
        </w:tblPrEx>
        <w:trPr>
          <w:trHeight w:val="585"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所学专业</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最低学历</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最低学位</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其它资格及要求</w:t>
            </w:r>
          </w:p>
        </w:tc>
        <w:tc>
          <w:tcPr>
            <w:tcW w:w="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4"/>
                <w:szCs w:val="24"/>
                <w:bdr w:val="none" w:color="auto" w:sz="0" w:space="0"/>
                <w:lang w:val="en-US" w:eastAsia="zh-CN" w:bidi="ar"/>
              </w:rPr>
              <w:t>年龄</w:t>
            </w:r>
          </w:p>
        </w:tc>
        <w:tc>
          <w:tcPr>
            <w:tcW w:w="23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r>
      <w:tr>
        <w:tblPrEx>
          <w:tblCellMar>
            <w:top w:w="0" w:type="dxa"/>
            <w:left w:w="0" w:type="dxa"/>
            <w:bottom w:w="0" w:type="dxa"/>
            <w:right w:w="0" w:type="dxa"/>
          </w:tblCellMar>
        </w:tblPrEx>
        <w:trPr>
          <w:trHeight w:val="525" w:hRule="atLeast"/>
        </w:trPr>
        <w:tc>
          <w:tcPr>
            <w:tcW w:w="86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教育</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系统</w:t>
            </w:r>
          </w:p>
        </w:tc>
        <w:tc>
          <w:tcPr>
            <w:tcW w:w="1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高（职）中</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（45名）</w:t>
            </w:r>
          </w:p>
        </w:tc>
        <w:tc>
          <w:tcPr>
            <w:tcW w:w="7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全额</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语文教师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中国语言文学类</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师范教育类对口专业且取得本招聘职位的高中或中职教师资格证</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ascii="Verdana" w:hAnsi="Verdana" w:eastAsia="宋体" w:cs="Verdana"/>
                <w:i w:val="0"/>
                <w:caps w:val="0"/>
                <w:color w:val="666666"/>
                <w:spacing w:val="0"/>
                <w:kern w:val="0"/>
                <w:sz w:val="20"/>
                <w:szCs w:val="20"/>
                <w:bdr w:val="none" w:color="auto" w:sz="0" w:space="0"/>
                <w:lang w:val="en-US" w:eastAsia="zh-CN" w:bidi="ar"/>
              </w:rPr>
              <w:t>30</w:t>
            </w:r>
            <w:r>
              <w:rPr>
                <w:rFonts w:hint="eastAsia" w:ascii="宋体" w:hAnsi="宋体" w:eastAsia="宋体" w:cs="宋体"/>
                <w:i w:val="0"/>
                <w:caps w:val="0"/>
                <w:color w:val="666666"/>
                <w:spacing w:val="0"/>
                <w:kern w:val="0"/>
                <w:sz w:val="20"/>
                <w:szCs w:val="20"/>
                <w:bdr w:val="none" w:color="auto" w:sz="0" w:space="0"/>
                <w:lang w:val="en-US" w:eastAsia="zh-CN" w:bidi="ar"/>
              </w:rPr>
              <w:t>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数学教师1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数学与统计类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数学教师2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物理教师1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物理学类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物理教师2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化学教师1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化学类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化学教师2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生物教师1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生物学类、生物科学类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生物教师2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政治教师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政治学类、人文教育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地理教师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地理学类、地理科学类、人文教育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历史教师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历史学类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JAVA程序设计教师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软件工程、计算机科学与技术、计算机软件与理论、物联网工程</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取得高中或中职教师资格证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幼儿活动设计教师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学前教育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幼儿护理学教师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护理学、卫生教育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幼儿心理学教师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学前教育、卫生教育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师范专业教师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教育学类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2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动画专业教师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动画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教育</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系统</w:t>
            </w: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初中</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（26名）</w:t>
            </w:r>
          </w:p>
        </w:tc>
        <w:tc>
          <w:tcPr>
            <w:tcW w:w="7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全额</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19</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数学教师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数学与统计类</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取得本招聘职位的初中及以上教师资格证</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物理教师1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物理学类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物理教师2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物理学类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化学教师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化学类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生物教师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生物学类、生物科学类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地理教师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地理学类、地理科学类、人文教育</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历史教师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历史学类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心理健康教育教师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心理学类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音乐教师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音乐学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特殊教育学校</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（1名）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特殊教育教师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特殊教育</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取得教师资格证</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镇幼儿园</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（25名）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幼儿教师1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15</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学前或幼儿教育</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大专</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取得幼儿园教师资格证</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12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幼儿教师2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学前或幼儿教育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8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镇中小学</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（3名）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财会人员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会计学、财务管理、金融学、经济与金融</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1215" w:hRule="atLeast"/>
        </w:trPr>
        <w:tc>
          <w:tcPr>
            <w:tcW w:w="86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卫生健康系统</w:t>
            </w:r>
          </w:p>
        </w:tc>
        <w:tc>
          <w:tcPr>
            <w:tcW w:w="1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人民医院</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（28名）</w:t>
            </w:r>
          </w:p>
        </w:tc>
        <w:tc>
          <w:tcPr>
            <w:tcW w:w="7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差额</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32</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西医临床医师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取得执业医师资格证，并具有三级综合医院一年及以上工作经历</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7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介入医师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取得执业医师资格证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53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麻醉医师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临床医学、麻醉学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临床医学专业人员报考须具有麻醉科专业住院医师规范化培训合格证书</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康复治疗师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康复治疗学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该岗位需陪护病人</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药学人员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药学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口腔医师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口腔医学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取得执业医师资格证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护理学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具有护士资格证</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28岁以下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106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护理学、护理</w:t>
            </w:r>
          </w:p>
        </w:tc>
        <w:tc>
          <w:tcPr>
            <w:tcW w:w="1540" w:type="dxa"/>
            <w:tcBorders>
              <w:top w:val="nil"/>
              <w:left w:val="nil"/>
              <w:bottom w:val="nil"/>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大专</w:t>
            </w:r>
          </w:p>
        </w:tc>
        <w:tc>
          <w:tcPr>
            <w:tcW w:w="680" w:type="dxa"/>
            <w:tcBorders>
              <w:top w:val="nil"/>
              <w:left w:val="nil"/>
              <w:bottom w:val="nil"/>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tcBorders>
              <w:top w:val="nil"/>
              <w:left w:val="nil"/>
              <w:bottom w:val="nil"/>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具有护士资格证且有三级综合医院一年及以上工作经历</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中医院</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（27名）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西医临床医生1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取得执业医师资格证</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0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中医临床医生1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中医学、中西医临床医学</w:t>
            </w:r>
          </w:p>
        </w:tc>
        <w:tc>
          <w:tcPr>
            <w:tcW w:w="154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取得执业医师资格证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140"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西医临床医生2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single" w:color="auto" w:sz="4" w:space="0"/>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取得执业医师资格证和住院医师规范化培训合格证</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09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卫生健康系统</w:t>
            </w: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中医院</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（27名）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差额</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43</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中医临床医生2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中医学、中西医临床医学</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取得执业医师资格证和住院医师规范化培训合格证</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康复治疗师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康复治疗学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该岗位需陪护病人</w:t>
            </w:r>
          </w:p>
        </w:tc>
      </w:tr>
      <w:tr>
        <w:tblPrEx>
          <w:tblCellMar>
            <w:top w:w="0" w:type="dxa"/>
            <w:left w:w="0" w:type="dxa"/>
            <w:bottom w:w="0" w:type="dxa"/>
            <w:right w:w="0"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护理、护理学</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大专</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具有护士资格证</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28岁以下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护士3</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护理（中医护理方向）</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nil"/>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面向高校毕业生（中医类别院校毕业生）</w:t>
            </w:r>
          </w:p>
        </w:tc>
      </w:tr>
      <w:tr>
        <w:tblPrEx>
          <w:tblCellMar>
            <w:top w:w="0" w:type="dxa"/>
            <w:left w:w="0" w:type="dxa"/>
            <w:bottom w:w="0" w:type="dxa"/>
            <w:right w:w="0" w:type="dxa"/>
          </w:tblCellMar>
        </w:tblPrEx>
        <w:trPr>
          <w:trHeight w:val="66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护士4</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中医类别院校毕业生</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血透室工程师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生物医学工程</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该岗位需要对机械进行维护</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妇幼保健院</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（28名）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妇产科医生1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面向高校毕业生，该岗位主要从事女性妇产科工作</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妇产科医生2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该岗位主要从事女性妇产科工作</w:t>
            </w:r>
          </w:p>
        </w:tc>
      </w:tr>
      <w:tr>
        <w:tblPrEx>
          <w:tblCellMar>
            <w:top w:w="0" w:type="dxa"/>
            <w:left w:w="0" w:type="dxa"/>
            <w:bottom w:w="0" w:type="dxa"/>
            <w:right w:w="0" w:type="dxa"/>
          </w:tblCellMar>
        </w:tblPrEx>
        <w:trPr>
          <w:trHeight w:val="61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西医临床医生</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174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放射科医生</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医学影像学、临床医学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临床医学专业人员报考需取得执业医师资格证，且执业范围为医学影像和放射诊疗专业</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药学人员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药学、药物制剂</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财会人员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会计学、财务管理、财务会计教育</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卫生健康系统</w:t>
            </w: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妇幼保健院</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（28名）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差额</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56</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医学检验员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医学检验技术</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大专</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康复治疗师</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康复治疗学、康复治疗技术、听力与言语康复学、言语听觉康复技术</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护理、护理学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取得护士资格证</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28岁以下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助产员1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助产、助产学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助产员2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镇卫生院</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（23名）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西医临床医生1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西医临床医生2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大专</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中医临床医生1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中医临床医生2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公卫人员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4</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预防医学、卫生监督</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药学人员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药学、药物制剂</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护士</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5</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护理、护理学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28岁以下</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基本公共卫生服务管理办公室</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公卫人员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公共卫生与预防医学类</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临床医生</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老龄工作事务</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中心（2名）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临床医生</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临床医学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72</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汉语言文学、汉语言、秘书学</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司法局</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法律援助中心</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（1名）</w:t>
            </w:r>
          </w:p>
        </w:tc>
        <w:tc>
          <w:tcPr>
            <w:tcW w:w="7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全额</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73</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法学类</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900"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公证处（2名）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已通过司法考试或国家法律职业资格考试</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法学类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2640" w:type="dxa"/>
            <w:gridSpan w:val="2"/>
            <w:vMerge w:val="restart"/>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审计局审计事务中心</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（3名）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76</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财务审计员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经济学、财政学、金融学、会计学、财务管理、审计学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2640" w:type="dxa"/>
            <w:gridSpan w:val="2"/>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计算机科学与技术、数据科学与大数据技术、区块链工程</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2640" w:type="dxa"/>
            <w:gridSpan w:val="2"/>
            <w:vMerge w:val="continue"/>
            <w:tcBorders>
              <w:top w:val="single" w:color="auto" w:sz="4" w:space="0"/>
              <w:left w:val="single" w:color="auto" w:sz="4" w:space="0"/>
              <w:bottom w:val="single" w:color="000000" w:sz="4" w:space="0"/>
              <w:right w:val="single" w:color="000000"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工程造价员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工程造价、工程管理</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Style w:val="5"/>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55" w:hRule="atLeast"/>
        </w:trPr>
        <w:tc>
          <w:tcPr>
            <w:tcW w:w="2640" w:type="dxa"/>
            <w:gridSpan w:val="2"/>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非公有制经济组织工作委员会办公室（1名）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79</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86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财政局</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国有资产运营事务中心（1名）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中国语言文学类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42"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财政国库集中支付中心（2名）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81</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财会人员1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财政学、税收学、金融学、国际经济与贸易、会计学、财务管理、审计学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面向高校毕业生，限男性</w:t>
            </w:r>
          </w:p>
        </w:tc>
      </w:tr>
      <w:tr>
        <w:tblPrEx>
          <w:tblCellMar>
            <w:top w:w="0" w:type="dxa"/>
            <w:left w:w="0" w:type="dxa"/>
            <w:bottom w:w="0" w:type="dxa"/>
            <w:right w:w="0" w:type="dxa"/>
          </w:tblCellMar>
        </w:tblPrEx>
        <w:trPr>
          <w:trHeight w:val="499"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财会人员2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面向高校毕业生，限女性</w:t>
            </w:r>
          </w:p>
        </w:tc>
      </w:tr>
      <w:tr>
        <w:tblPrEx>
          <w:tblCellMar>
            <w:top w:w="0" w:type="dxa"/>
            <w:left w:w="0" w:type="dxa"/>
            <w:bottom w:w="0" w:type="dxa"/>
            <w:right w:w="0" w:type="dxa"/>
          </w:tblCellMar>
        </w:tblPrEx>
        <w:trPr>
          <w:trHeight w:val="58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财政信息中心</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计算机科学与技术、软件工程、网络工程</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面向高校毕业生，限男性</w:t>
            </w:r>
          </w:p>
        </w:tc>
      </w:tr>
      <w:tr>
        <w:tblPrEx>
          <w:tblCellMar>
            <w:top w:w="0" w:type="dxa"/>
            <w:left w:w="0" w:type="dxa"/>
            <w:bottom w:w="0" w:type="dxa"/>
            <w:right w:w="0" w:type="dxa"/>
          </w:tblCellMar>
        </w:tblPrEx>
        <w:trPr>
          <w:trHeight w:val="462"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面向高校毕业生，限女性</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财政投资评审中心（2名）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工程造价员1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工程造价、工程管理</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限男性</w:t>
            </w:r>
          </w:p>
        </w:tc>
      </w:tr>
      <w:tr>
        <w:tblPrEx>
          <w:tblCellMar>
            <w:top w:w="0" w:type="dxa"/>
            <w:left w:w="0" w:type="dxa"/>
            <w:bottom w:w="0" w:type="dxa"/>
            <w:right w:w="0" w:type="dxa"/>
          </w:tblCellMar>
        </w:tblPrEx>
        <w:trPr>
          <w:trHeight w:val="555" w:hRule="atLeast"/>
        </w:trPr>
        <w:tc>
          <w:tcPr>
            <w:tcW w:w="86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工程造价员2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限女性</w:t>
            </w:r>
          </w:p>
        </w:tc>
      </w:tr>
      <w:tr>
        <w:tblPrEx>
          <w:tblCellMar>
            <w:top w:w="0" w:type="dxa"/>
            <w:left w:w="0" w:type="dxa"/>
            <w:bottom w:w="0" w:type="dxa"/>
            <w:right w:w="0" w:type="dxa"/>
          </w:tblCellMar>
        </w:tblPrEx>
        <w:trPr>
          <w:trHeight w:val="555"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浯溪国家湿地公园管理局</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（3名）</w:t>
            </w: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87</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经济学类、工商管理类</w:t>
            </w:r>
          </w:p>
        </w:tc>
        <w:tc>
          <w:tcPr>
            <w:tcW w:w="15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林学类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55"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89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工作人员3</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新闻传播学类、旅游管理类</w:t>
            </w:r>
          </w:p>
        </w:tc>
        <w:tc>
          <w:tcPr>
            <w:tcW w:w="15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1005"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公路建设养护中心公路养护站（4名）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全额</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90</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中国语言文学类、新闻学、人力资源管理、行政管理、公共事业管理、劳动与社会保障、思想政治教育、政治学与行政学、法学、社会工作</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本科</w:t>
            </w: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40"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91</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财会人员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会计学、财务管理、财政学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40" w:hRule="atLeast"/>
        </w:trPr>
        <w:tc>
          <w:tcPr>
            <w:tcW w:w="26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民族宗教事务中心（1名）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92</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540"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城市环境卫生和园林绿化事务中心（4名）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93</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园林、风景园林、植物保护、城市管理</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540"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94</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财会人员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财务会计教育、财务管理、会计学</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75" w:hRule="atLeast"/>
        </w:trPr>
        <w:tc>
          <w:tcPr>
            <w:tcW w:w="2640"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农村经营服务站（2名）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95</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计算机类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75" w:hRule="atLeast"/>
        </w:trPr>
        <w:tc>
          <w:tcPr>
            <w:tcW w:w="2640" w:type="dxa"/>
            <w:gridSpan w:val="2"/>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经济和管理学大类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75" w:hRule="atLeast"/>
        </w:trPr>
        <w:tc>
          <w:tcPr>
            <w:tcW w:w="86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文化旅游广电体育局</w:t>
            </w: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全民健身服务中心（1名）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97</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体育学类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学士</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陶铸图书馆</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文史哲大类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99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网络工程、信息安全、物联网工程</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75" w:hRule="atLeast"/>
        </w:trPr>
        <w:tc>
          <w:tcPr>
            <w:tcW w:w="86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旅游发展服务中心（1名）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100</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秘书学、汉语言文学、计算机类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75" w:hRule="atLeast"/>
        </w:trPr>
        <w:tc>
          <w:tcPr>
            <w:tcW w:w="26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机关事务中心公务用车管理服务中心（1名）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中国语言文学类</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675" w:hRule="atLeast"/>
        </w:trPr>
        <w:tc>
          <w:tcPr>
            <w:tcW w:w="26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禁毒工作社会化宣传教育中心（2名）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675" w:hRule="atLeast"/>
        </w:trPr>
        <w:tc>
          <w:tcPr>
            <w:tcW w:w="264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政法委下属法学会（2名）</w:t>
            </w: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795" w:hRule="atLeast"/>
        </w:trPr>
        <w:tc>
          <w:tcPr>
            <w:tcW w:w="2640" w:type="dxa"/>
            <w:gridSpan w:val="2"/>
            <w:vMerge w:val="restart"/>
            <w:tcBorders>
              <w:top w:val="single" w:color="auto" w:sz="4" w:space="0"/>
              <w:left w:val="single" w:color="auto" w:sz="4" w:space="0"/>
              <w:bottom w:val="single" w:color="000000" w:sz="4" w:space="0"/>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镇（街道办）属事业</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单位（29名）</w:t>
            </w:r>
          </w:p>
        </w:tc>
        <w:tc>
          <w:tcPr>
            <w:tcW w:w="740" w:type="dxa"/>
            <w:vMerge w:val="restart"/>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全额</w:t>
            </w:r>
            <w:r>
              <w:rPr>
                <w:rFonts w:hint="eastAsia" w:ascii="宋体" w:hAnsi="宋体" w:eastAsia="宋体" w:cs="宋体"/>
                <w:i w:val="0"/>
                <w:caps w:val="0"/>
                <w:color w:val="666666"/>
                <w:spacing w:val="0"/>
                <w:kern w:val="0"/>
                <w:sz w:val="20"/>
                <w:szCs w:val="20"/>
                <w:bdr w:val="none" w:color="auto" w:sz="0" w:space="0"/>
                <w:lang w:val="en-US" w:eastAsia="zh-CN" w:bidi="ar"/>
              </w:rPr>
              <w:br w:type="textWrapping"/>
            </w:r>
            <w:r>
              <w:rPr>
                <w:rFonts w:hint="eastAsia" w:ascii="宋体" w:hAnsi="宋体" w:eastAsia="宋体" w:cs="宋体"/>
                <w:i w:val="0"/>
                <w:caps w:val="0"/>
                <w:color w:val="666666"/>
                <w:spacing w:val="0"/>
                <w:kern w:val="0"/>
                <w:sz w:val="20"/>
                <w:szCs w:val="20"/>
                <w:bdr w:val="none" w:color="auto" w:sz="0" w:space="0"/>
                <w:lang w:val="en-US" w:eastAsia="zh-CN" w:bidi="ar"/>
              </w:rPr>
              <w:t>事业</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104</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管理岗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工作人员1</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6</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大专</w:t>
            </w:r>
          </w:p>
        </w:tc>
        <w:tc>
          <w:tcPr>
            <w:tcW w:w="6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154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不限</w:t>
            </w:r>
          </w:p>
        </w:tc>
        <w:tc>
          <w:tcPr>
            <w:tcW w:w="7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30岁以下</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面向村（社区）干部、退役军人</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105</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工作人员2</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面向高校毕业生，限男性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106</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工作人员3</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107</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工作人员4</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限男性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108</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工作人员5</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面向高校毕业生，限女性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109</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工作人员6</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限女性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110</w:t>
            </w:r>
          </w:p>
        </w:tc>
        <w:tc>
          <w:tcPr>
            <w:tcW w:w="62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专技岗</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财务人员1</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会计、会计学、财务管理、金融学、经济与金融</w:t>
            </w: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限男性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111</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财务人员2</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面向高校毕业生，限男性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112</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财务人员3</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限女性</w:t>
            </w:r>
          </w:p>
        </w:tc>
      </w:tr>
      <w:tr>
        <w:tblPrEx>
          <w:tblCellMar>
            <w:top w:w="0" w:type="dxa"/>
            <w:left w:w="0" w:type="dxa"/>
            <w:bottom w:w="0" w:type="dxa"/>
            <w:right w:w="0" w:type="dxa"/>
          </w:tblCellMar>
        </w:tblPrEx>
        <w:trPr>
          <w:trHeight w:val="705" w:hRule="atLeast"/>
        </w:trPr>
        <w:tc>
          <w:tcPr>
            <w:tcW w:w="2640" w:type="dxa"/>
            <w:gridSpan w:val="2"/>
            <w:vMerge w:val="continue"/>
            <w:tcBorders>
              <w:top w:val="single" w:color="auto" w:sz="4" w:space="0"/>
              <w:left w:val="single" w:color="auto" w:sz="4" w:space="0"/>
              <w:bottom w:val="single" w:color="000000" w:sz="4" w:space="0"/>
              <w:right w:val="nil"/>
            </w:tcBorders>
            <w:shd w:val="clear" w:color="auto" w:fill="FFFFFF"/>
            <w:vAlign w:val="center"/>
          </w:tcPr>
          <w:p>
            <w:pPr>
              <w:rPr>
                <w:rFonts w:hint="eastAsia" w:ascii="宋体" w:hAnsi="宋体" w:eastAsia="宋体" w:cs="宋体"/>
                <w:i w:val="0"/>
                <w:caps w:val="0"/>
                <w:color w:val="666666"/>
                <w:spacing w:val="0"/>
                <w:sz w:val="21"/>
                <w:szCs w:val="21"/>
              </w:rPr>
            </w:pPr>
          </w:p>
        </w:tc>
        <w:tc>
          <w:tcPr>
            <w:tcW w:w="740" w:type="dxa"/>
            <w:vMerge w:val="continue"/>
            <w:tcBorders>
              <w:top w:val="nil"/>
              <w:left w:val="single" w:color="auto" w:sz="4" w:space="0"/>
              <w:bottom w:val="single" w:color="auto"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113</w:t>
            </w:r>
          </w:p>
        </w:tc>
        <w:tc>
          <w:tcPr>
            <w:tcW w:w="62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财务人员4</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3</w:t>
            </w:r>
          </w:p>
        </w:tc>
        <w:tc>
          <w:tcPr>
            <w:tcW w:w="32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6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154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780" w:type="dxa"/>
            <w:vMerge w:val="continue"/>
            <w:tcBorders>
              <w:top w:val="nil"/>
              <w:left w:val="single" w:color="auto" w:sz="4" w:space="0"/>
              <w:bottom w:val="single" w:color="000000" w:sz="4" w:space="0"/>
              <w:right w:val="single" w:color="auto" w:sz="4" w:space="0"/>
            </w:tcBorders>
            <w:shd w:val="clear" w:color="auto" w:fill="FFFFFF"/>
            <w:vAlign w:val="center"/>
          </w:tcPr>
          <w:p>
            <w:pPr>
              <w:rPr>
                <w:rFonts w:hint="eastAsia" w:ascii="宋体" w:hAnsi="宋体" w:eastAsia="宋体" w:cs="宋体"/>
                <w:i w:val="0"/>
                <w:caps w:val="0"/>
                <w:color w:val="666666"/>
                <w:spacing w:val="0"/>
                <w:sz w:val="21"/>
                <w:szCs w:val="21"/>
              </w:rPr>
            </w:pP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面向高校毕业生，限女性</w:t>
            </w:r>
          </w:p>
        </w:tc>
      </w:tr>
      <w:tr>
        <w:tblPrEx>
          <w:tblCellMar>
            <w:top w:w="0" w:type="dxa"/>
            <w:left w:w="0" w:type="dxa"/>
            <w:bottom w:w="0" w:type="dxa"/>
            <w:right w:w="0" w:type="dxa"/>
          </w:tblCellMar>
        </w:tblPrEx>
        <w:trPr>
          <w:trHeight w:val="330" w:hRule="atLeast"/>
        </w:trPr>
        <w:tc>
          <w:tcPr>
            <w:tcW w:w="4000" w:type="dxa"/>
            <w:gridSpan w:val="4"/>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合计</w:t>
            </w:r>
          </w:p>
        </w:tc>
        <w:tc>
          <w:tcPr>
            <w:tcW w:w="6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c>
          <w:tcPr>
            <w:tcW w:w="6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276</w:t>
            </w:r>
          </w:p>
        </w:tc>
        <w:tc>
          <w:tcPr>
            <w:tcW w:w="0" w:type="auto"/>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c>
          <w:tcPr>
            <w:tcW w:w="6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c>
          <w:tcPr>
            <w:tcW w:w="154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c>
          <w:tcPr>
            <w:tcW w:w="7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c>
          <w:tcPr>
            <w:tcW w:w="23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　</w:t>
            </w:r>
          </w:p>
        </w:tc>
      </w:tr>
      <w:tr>
        <w:tblPrEx>
          <w:tblCellMar>
            <w:top w:w="0" w:type="dxa"/>
            <w:left w:w="0" w:type="dxa"/>
            <w:bottom w:w="0" w:type="dxa"/>
            <w:right w:w="0" w:type="dxa"/>
          </w:tblCellMar>
        </w:tblPrEx>
        <w:trPr>
          <w:trHeight w:val="480" w:hRule="atLeast"/>
        </w:trPr>
        <w:tc>
          <w:tcPr>
            <w:tcW w:w="0" w:type="auto"/>
            <w:gridSpan w:val="13"/>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宋体" w:hAnsi="宋体" w:eastAsia="宋体" w:cs="宋体"/>
                <w:i w:val="0"/>
                <w:caps w:val="0"/>
                <w:color w:val="666666"/>
                <w:spacing w:val="0"/>
                <w:sz w:val="21"/>
                <w:szCs w:val="21"/>
              </w:rPr>
            </w:pPr>
            <w:r>
              <w:rPr>
                <w:rFonts w:hint="eastAsia" w:ascii="宋体" w:hAnsi="宋体" w:eastAsia="宋体" w:cs="宋体"/>
                <w:i w:val="0"/>
                <w:caps w:val="0"/>
                <w:color w:val="666666"/>
                <w:spacing w:val="0"/>
                <w:kern w:val="0"/>
                <w:sz w:val="20"/>
                <w:szCs w:val="20"/>
                <w:bdr w:val="none" w:color="auto" w:sz="0" w:space="0"/>
                <w:lang w:val="en-US" w:eastAsia="zh-CN" w:bidi="ar"/>
              </w:rPr>
              <w:t>说明：各职位报考对象是硕士研究生或本专业岗位中级及以上职称的（除护士职位外），年龄可放宽到35岁。</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85C42"/>
    <w:rsid w:val="47B85C42"/>
    <w:rsid w:val="79393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2021-04-15T02:37:00Z</dcterms:created>
  <dc:creator>陌上~夕舞诺</dc:creator>
  <cp:lastModifiedBy>陌上~夕舞诺</cp:lastModifiedBy>
  <dcterms:modified xsi:type="dcterms:W3CDTF">2021-04-15T03:20:37Z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